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03D0E168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525D8">
        <w:rPr>
          <w:bCs/>
          <w:noProof w:val="0"/>
          <w:sz w:val="24"/>
          <w:szCs w:val="24"/>
        </w:rPr>
        <w:t>2401308</w:t>
      </w:r>
    </w:p>
    <w:p w14:paraId="11776FA6" w14:textId="5256E2D0" w:rsidR="00A209D6" w:rsidRPr="00465587" w:rsidRDefault="00F8704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723B23">
        <w:rPr>
          <w:rFonts w:eastAsia="SimSun"/>
          <w:bCs/>
          <w:sz w:val="24"/>
          <w:szCs w:val="24"/>
          <w:lang w:eastAsia="zh-CN"/>
        </w:rPr>
        <w:t xml:space="preserve">26 February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723B23">
        <w:rPr>
          <w:rFonts w:eastAsia="SimSun"/>
          <w:bCs/>
          <w:sz w:val="24"/>
          <w:szCs w:val="24"/>
          <w:lang w:eastAsia="zh-CN"/>
        </w:rPr>
        <w:t>01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723B23">
        <w:rPr>
          <w:rFonts w:eastAsia="SimSun"/>
          <w:bCs/>
          <w:sz w:val="24"/>
          <w:szCs w:val="24"/>
          <w:lang w:eastAsia="zh-CN"/>
        </w:rPr>
        <w:t>March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4761DE9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D56D6">
        <w:rPr>
          <w:rFonts w:cs="Arial"/>
          <w:b/>
          <w:bCs/>
          <w:sz w:val="24"/>
          <w:lang w:eastAsia="ja-JP"/>
        </w:rPr>
        <w:t>7.21.2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8E4ACF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D56D6">
        <w:rPr>
          <w:rFonts w:ascii="Arial" w:hAnsi="Arial" w:cs="Arial"/>
          <w:b/>
          <w:bCs/>
          <w:sz w:val="24"/>
        </w:rPr>
        <w:t>Capability for DPC reporting</w:t>
      </w:r>
    </w:p>
    <w:p w14:paraId="25F387E8" w14:textId="3DFDC2A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D56D6" w:rsidRPr="005D56D6">
        <w:rPr>
          <w:rFonts w:ascii="Arial" w:hAnsi="Arial" w:cs="Arial"/>
          <w:b/>
          <w:bCs/>
          <w:sz w:val="24"/>
        </w:rPr>
        <w:t>NR_cov_enh2-Core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D56D6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121D4E5F" w:rsidR="009339CB" w:rsidRDefault="008E03C8" w:rsidP="009339CB">
      <w:r>
        <w:t>This TDoc discusses the UE capability of the DPC reporting.</w:t>
      </w:r>
    </w:p>
    <w:p w14:paraId="5982B445" w14:textId="37B1C72D" w:rsidR="009339CB" w:rsidRPr="006E13D1" w:rsidRDefault="009339CB" w:rsidP="008E03C8">
      <w:pPr>
        <w:pStyle w:val="Heading1"/>
      </w:pPr>
      <w:r w:rsidRPr="006E13D1">
        <w:t>2</w:t>
      </w:r>
      <w:r w:rsidRPr="006E13D1">
        <w:tab/>
      </w:r>
      <w:r w:rsidR="008E03C8">
        <w:t>Discussion</w:t>
      </w:r>
    </w:p>
    <w:p w14:paraId="4C81E2C6" w14:textId="6A08B234" w:rsidR="008E03C8" w:rsidRDefault="008E03C8" w:rsidP="009339CB">
      <w:r>
        <w:t>While the DPC reporting in the PHR formats were agreed, it seems RAN2 did not agree on a UE capability based on which the NW would be able to configure the feature to the UE. RAN4 indicated in their LS to RAN2 in their previous meeting the following (R4-2321998):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E03C8" w14:paraId="00247114" w14:textId="77777777" w:rsidTr="008E03C8">
        <w:tc>
          <w:tcPr>
            <w:tcW w:w="9631" w:type="dxa"/>
            <w:shd w:val="clear" w:color="auto" w:fill="F2F2F2" w:themeFill="background1" w:themeFillShade="F2"/>
          </w:tcPr>
          <w:p w14:paraId="76EFD7E4" w14:textId="77777777" w:rsidR="008E03C8" w:rsidRDefault="008E03C8" w:rsidP="008E03C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50" w:afterLines="50" w:after="120" w:line="256" w:lineRule="auto"/>
              <w:jc w:val="both"/>
              <w:textAlignment w:val="baseline"/>
              <w:rPr>
                <w:rFonts w:ascii="Arial" w:eastAsia="Yu Mincho" w:hAnsi="Arial" w:cs="Arial"/>
                <w:iCs/>
                <w:lang w:val="en-US" w:eastAsia="ja-JP"/>
              </w:rPr>
            </w:pPr>
            <w:r>
              <w:rPr>
                <w:rFonts w:ascii="Arial" w:eastAsia="Yu Mincho" w:hAnsi="Arial" w:cs="Arial"/>
                <w:b/>
                <w:bCs/>
                <w:iCs/>
                <w:lang w:eastAsia="ja-JP"/>
              </w:rPr>
              <w:t>Q2</w:t>
            </w:r>
            <w:r>
              <w:rPr>
                <w:rFonts w:ascii="Arial" w:eastAsia="Yu Mincho" w:hAnsi="Arial" w:cs="Arial"/>
                <w:iCs/>
                <w:lang w:eastAsia="ja-JP"/>
              </w:rPr>
              <w:t>: What is the granularity of the information to be reported (e.g., per UE / per cell / other option)?</w:t>
            </w:r>
          </w:p>
          <w:p w14:paraId="6A3A3A7D" w14:textId="77777777" w:rsidR="008E03C8" w:rsidRDefault="008E03C8" w:rsidP="008E03C8">
            <w:pPr>
              <w:spacing w:afterLines="50" w:after="120"/>
              <w:ind w:firstLine="284"/>
              <w:contextualSpacing/>
              <w:rPr>
                <w:rFonts w:ascii="Arial" w:eastAsia="Yu Mincho" w:hAnsi="Arial" w:cs="Arial"/>
                <w:iCs/>
                <w:sz w:val="22"/>
                <w:szCs w:val="22"/>
                <w:lang w:val="en-FI" w:eastAsia="ja-JP"/>
              </w:rPr>
            </w:pPr>
            <w:r>
              <w:rPr>
                <w:rFonts w:ascii="Arial" w:eastAsia="Yu Mincho" w:hAnsi="Arial" w:cs="Arial"/>
                <w:b/>
                <w:bCs/>
                <w:iCs/>
                <w:lang w:val="en-FI" w:eastAsia="ja-JP"/>
              </w:rPr>
              <w:t>Answer from RAN4</w:t>
            </w:r>
            <w:r>
              <w:rPr>
                <w:rFonts w:ascii="Arial" w:eastAsia="Yu Mincho" w:hAnsi="Arial" w:cs="Arial"/>
                <w:iCs/>
                <w:lang w:val="en-FI" w:eastAsia="ja-JP"/>
              </w:rPr>
              <w:t>:</w:t>
            </w:r>
          </w:p>
          <w:p w14:paraId="25A6F8B9" w14:textId="77777777" w:rsidR="008E03C8" w:rsidRPr="008E03C8" w:rsidRDefault="008E03C8" w:rsidP="008E03C8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360" w:lineRule="auto"/>
              <w:ind w:leftChars="200" w:left="820"/>
              <w:jc w:val="both"/>
              <w:rPr>
                <w:rFonts w:ascii="Arial" w:eastAsia="Yu Mincho" w:hAnsi="Arial" w:cs="Arial"/>
                <w:bCs/>
                <w:iCs/>
                <w:highlight w:val="yellow"/>
                <w:lang w:eastAsia="ja-JP"/>
              </w:rPr>
            </w:pPr>
            <w:r w:rsidRPr="008E03C8">
              <w:rPr>
                <w:rFonts w:ascii="Arial" w:hAnsi="Arial" w:cs="Arial"/>
                <w:highlight w:val="yellow"/>
                <w:lang w:val="en-US"/>
              </w:rPr>
              <w:t xml:space="preserve">The capability of </w:t>
            </w:r>
            <w:r w:rsidRPr="008E03C8">
              <w:rPr>
                <w:rFonts w:ascii="Arial" w:hAnsi="Arial" w:cs="Arial"/>
                <w:highlight w:val="yellow"/>
              </w:rPr>
              <w:t>ΔP</w:t>
            </w:r>
            <w:r w:rsidRPr="008E03C8">
              <w:rPr>
                <w:rFonts w:ascii="Arial" w:hAnsi="Arial" w:cs="Arial"/>
                <w:highlight w:val="yellow"/>
                <w:vertAlign w:val="subscript"/>
              </w:rPr>
              <w:t>PowerClass</w:t>
            </w:r>
            <w:r w:rsidRPr="008E03C8">
              <w:rPr>
                <w:rFonts w:ascii="Arial" w:hAnsi="Arial" w:cs="Arial"/>
                <w:highlight w:val="yellow"/>
                <w:lang w:val="en-US"/>
              </w:rPr>
              <w:t xml:space="preserve"> reporting feature is per UE with following </w:t>
            </w:r>
            <w:proofErr w:type="gramStart"/>
            <w:r w:rsidRPr="008E03C8">
              <w:rPr>
                <w:rFonts w:ascii="Arial" w:hAnsi="Arial" w:cs="Arial"/>
                <w:highlight w:val="yellow"/>
                <w:lang w:val="en-US"/>
              </w:rPr>
              <w:t>options</w:t>
            </w:r>
            <w:proofErr w:type="gramEnd"/>
          </w:p>
          <w:p w14:paraId="11A0A967" w14:textId="77777777" w:rsidR="008E03C8" w:rsidRDefault="008E03C8" w:rsidP="008E03C8">
            <w:pPr>
              <w:pStyle w:val="ListParagraph"/>
              <w:widowControl w:val="0"/>
              <w:numPr>
                <w:ilvl w:val="0"/>
                <w:numId w:val="19"/>
              </w:numPr>
              <w:spacing w:after="0" w:line="360" w:lineRule="auto"/>
              <w:ind w:leftChars="342" w:left="1104"/>
              <w:jc w:val="both"/>
              <w:rPr>
                <w:rFonts w:ascii="Arial" w:eastAsiaTheme="minorHAnsi" w:hAnsi="Arial" w:cs="Arial"/>
                <w:lang w:eastAsia="x-none"/>
              </w:rPr>
            </w:pPr>
            <w:r>
              <w:rPr>
                <w:rFonts w:ascii="Arial" w:hAnsi="Arial" w:cs="Arial"/>
              </w:rPr>
              <w:t>UE to report ΔP</w:t>
            </w:r>
            <w:r>
              <w:rPr>
                <w:rFonts w:ascii="Arial" w:hAnsi="Arial" w:cs="Arial"/>
                <w:vertAlign w:val="subscript"/>
              </w:rPr>
              <w:t>PowerClass</w:t>
            </w:r>
            <w:r>
              <w:rPr>
                <w:rFonts w:ascii="Arial" w:hAnsi="Arial" w:cs="Arial"/>
                <w:lang w:val="en-US"/>
              </w:rPr>
              <w:t xml:space="preserve"> reported per serving cell for only single band single CC operation</w:t>
            </w:r>
            <w:r>
              <w:rPr>
                <w:rFonts w:ascii="Arial" w:hAnsi="Arial" w:cs="Arial"/>
              </w:rPr>
              <w:t>.</w:t>
            </w:r>
          </w:p>
          <w:p w14:paraId="5B8F7FE0" w14:textId="77777777" w:rsidR="008E03C8" w:rsidRDefault="008E03C8" w:rsidP="008E03C8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UE to report </w:t>
            </w:r>
            <w:r>
              <w:rPr>
                <w:rFonts w:ascii="Arial" w:hAnsi="Arial" w:cs="Arial"/>
              </w:rPr>
              <w:t>ΔP</w:t>
            </w:r>
            <w:r>
              <w:rPr>
                <w:rFonts w:ascii="Arial" w:hAnsi="Arial" w:cs="Arial"/>
                <w:vertAlign w:val="subscript"/>
              </w:rPr>
              <w:t>PowerClass</w:t>
            </w:r>
            <w:r>
              <w:rPr>
                <w:rFonts w:ascii="Arial" w:hAnsi="Arial" w:cs="Arial"/>
                <w:lang w:val="en-US"/>
              </w:rPr>
              <w:t xml:space="preserve"> reported per serving cell for only single band single CC operation as well as </w:t>
            </w:r>
            <w:r>
              <w:rPr>
                <w:rFonts w:ascii="Arial" w:hAnsi="Arial" w:cs="Arial"/>
              </w:rPr>
              <w:t>ΔP</w:t>
            </w:r>
            <w:r>
              <w:rPr>
                <w:rFonts w:ascii="Arial" w:hAnsi="Arial" w:cs="Arial"/>
                <w:vertAlign w:val="subscript"/>
              </w:rPr>
              <w:t>PowerClass, CA</w:t>
            </w:r>
            <w:r>
              <w:rPr>
                <w:rFonts w:ascii="Arial" w:hAnsi="Arial" w:cs="Arial"/>
              </w:rPr>
              <w:t>/ΔP</w:t>
            </w:r>
            <w:r>
              <w:rPr>
                <w:rFonts w:ascii="Arial" w:hAnsi="Arial" w:cs="Arial"/>
                <w:vertAlign w:val="subscript"/>
              </w:rPr>
              <w:t>PowerClass, EN-DC</w:t>
            </w:r>
            <w:r>
              <w:rPr>
                <w:rFonts w:ascii="Arial" w:hAnsi="Arial" w:cs="Arial"/>
              </w:rPr>
              <w:t>/ΔP</w:t>
            </w:r>
            <w:r>
              <w:rPr>
                <w:rFonts w:ascii="Arial" w:hAnsi="Arial" w:cs="Arial"/>
                <w:vertAlign w:val="subscript"/>
              </w:rPr>
              <w:t>PowerClass, NR-DC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per configured band combination and </w:t>
            </w:r>
            <w:r>
              <w:rPr>
                <w:rFonts w:ascii="Arial" w:hAnsi="Arial" w:cs="Arial"/>
              </w:rPr>
              <w:t>ΔP</w:t>
            </w:r>
            <w:r>
              <w:rPr>
                <w:rFonts w:ascii="Arial" w:hAnsi="Arial" w:cs="Arial"/>
                <w:vertAlign w:val="subscript"/>
              </w:rPr>
              <w:t>PowerClass</w:t>
            </w:r>
            <w:r>
              <w:rPr>
                <w:rFonts w:ascii="Arial" w:hAnsi="Arial" w:cs="Arial"/>
                <w:lang w:val="en-US"/>
              </w:rPr>
              <w:t xml:space="preserve"> per serving cell of configured band combination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6CF7767" w14:textId="58478AFE" w:rsidR="008E03C8" w:rsidRPr="008E03C8" w:rsidRDefault="008E03C8" w:rsidP="009339CB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360" w:lineRule="auto"/>
              <w:ind w:leftChars="200" w:left="820"/>
              <w:jc w:val="both"/>
              <w:rPr>
                <w:rFonts w:ascii="Arial" w:eastAsia="Yu Mincho" w:hAnsi="Arial" w:cs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lang w:val="en-US"/>
              </w:rPr>
              <w:t xml:space="preserve">etwork configures the reporting of </w:t>
            </w:r>
            <w:r>
              <w:rPr>
                <w:rFonts w:ascii="Arial" w:hAnsi="Arial" w:cs="Arial"/>
              </w:rPr>
              <w:t>ΔP</w:t>
            </w:r>
            <w:r>
              <w:rPr>
                <w:rFonts w:ascii="Arial" w:hAnsi="Arial" w:cs="Arial"/>
                <w:vertAlign w:val="subscript"/>
              </w:rPr>
              <w:t>PowerClass</w:t>
            </w:r>
            <w:r>
              <w:rPr>
                <w:rFonts w:ascii="Arial" w:hAnsi="Arial" w:cs="Arial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and/or </w:t>
            </w:r>
            <w:r>
              <w:rPr>
                <w:rFonts w:ascii="Arial" w:hAnsi="Arial" w:cs="Arial"/>
              </w:rPr>
              <w:t>ΔP</w:t>
            </w:r>
            <w:r>
              <w:rPr>
                <w:rFonts w:ascii="Arial" w:hAnsi="Arial" w:cs="Arial"/>
                <w:vertAlign w:val="subscript"/>
              </w:rPr>
              <w:t>PowerClass, CA</w:t>
            </w:r>
            <w:r>
              <w:rPr>
                <w:rFonts w:ascii="Arial" w:hAnsi="Arial" w:cs="Arial"/>
              </w:rPr>
              <w:t>/ΔP</w:t>
            </w:r>
            <w:r>
              <w:rPr>
                <w:rFonts w:ascii="Arial" w:hAnsi="Arial" w:cs="Arial"/>
                <w:vertAlign w:val="subscript"/>
              </w:rPr>
              <w:t>PowerClass, EN-DC</w:t>
            </w:r>
            <w:r>
              <w:rPr>
                <w:rFonts w:ascii="Arial" w:hAnsi="Arial" w:cs="Arial"/>
              </w:rPr>
              <w:t>/ΔP</w:t>
            </w:r>
            <w:r>
              <w:rPr>
                <w:rFonts w:ascii="Arial" w:hAnsi="Arial" w:cs="Arial"/>
                <w:vertAlign w:val="subscript"/>
              </w:rPr>
              <w:t>PowerClass, NR-DC</w:t>
            </w:r>
            <w:r>
              <w:rPr>
                <w:rFonts w:ascii="Arial" w:hAnsi="Arial" w:cs="Arial"/>
                <w:lang w:val="en-US"/>
              </w:rPr>
              <w:t xml:space="preserve"> for</w:t>
            </w:r>
            <w:r>
              <w:rPr>
                <w:rFonts w:ascii="Arial" w:hAnsi="Arial" w:cs="Arial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the overhead reduction purpose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5E402DF3" w14:textId="77777777" w:rsidR="008E03C8" w:rsidRDefault="008E03C8" w:rsidP="009339CB"/>
    <w:p w14:paraId="655974D4" w14:textId="42858863" w:rsidR="008E03C8" w:rsidRDefault="008E03C8" w:rsidP="009339CB">
      <w:r>
        <w:t>Hence, a new per UE capability for the DPC should be introduced which is only applicable in FR1.</w:t>
      </w:r>
    </w:p>
    <w:p w14:paraId="5809B04B" w14:textId="3335B966" w:rsidR="008E03C8" w:rsidRPr="008E03C8" w:rsidRDefault="008E03C8" w:rsidP="009339CB">
      <w:pPr>
        <w:rPr>
          <w:b/>
          <w:bCs/>
        </w:rPr>
      </w:pPr>
      <w:r>
        <w:rPr>
          <w:b/>
          <w:bCs/>
        </w:rPr>
        <w:t>Proposal: Introduce per UE capability for the DPC reporting in TS 38.306.</w:t>
      </w:r>
    </w:p>
    <w:p w14:paraId="69B7B8E6" w14:textId="69E07FC9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B4347AD" w14:textId="3BB46F99" w:rsidR="008E03C8" w:rsidRPr="008E03C8" w:rsidRDefault="008E03C8" w:rsidP="008E03C8">
      <w:pPr>
        <w:rPr>
          <w:b/>
          <w:bCs/>
        </w:rPr>
      </w:pPr>
      <w:r>
        <w:rPr>
          <w:b/>
          <w:bCs/>
        </w:rPr>
        <w:t>Proposal: Introduce per UE capability for the DPC reporting in TS 38.306.</w:t>
      </w:r>
    </w:p>
    <w:sectPr w:rsidR="008E03C8" w:rsidRPr="008E03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4D404" w14:textId="77777777" w:rsidR="0012610D" w:rsidRDefault="0012610D">
      <w:r>
        <w:separator/>
      </w:r>
    </w:p>
  </w:endnote>
  <w:endnote w:type="continuationSeparator" w:id="0">
    <w:p w14:paraId="569CC534" w14:textId="77777777" w:rsidR="0012610D" w:rsidRDefault="0012610D">
      <w:r>
        <w:continuationSeparator/>
      </w:r>
    </w:p>
  </w:endnote>
  <w:endnote w:type="continuationNotice" w:id="1">
    <w:p w14:paraId="3F4B0D48" w14:textId="77777777" w:rsidR="0012610D" w:rsidRDefault="001261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DEF4A" w14:textId="77777777" w:rsidR="0012610D" w:rsidRDefault="0012610D">
      <w:r>
        <w:separator/>
      </w:r>
    </w:p>
  </w:footnote>
  <w:footnote w:type="continuationSeparator" w:id="0">
    <w:p w14:paraId="5A7DFA61" w14:textId="77777777" w:rsidR="0012610D" w:rsidRDefault="0012610D">
      <w:r>
        <w:continuationSeparator/>
      </w:r>
    </w:p>
  </w:footnote>
  <w:footnote w:type="continuationNotice" w:id="1">
    <w:p w14:paraId="1AE7DE27" w14:textId="77777777" w:rsidR="0012610D" w:rsidRDefault="001261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F80D4E"/>
    <w:multiLevelType w:val="hybridMultilevel"/>
    <w:tmpl w:val="B1522066"/>
    <w:lvl w:ilvl="0" w:tplc="04090001">
      <w:start w:val="1"/>
      <w:numFmt w:val="bullet"/>
      <w:lvlText w:val=""/>
      <w:lvlJc w:val="left"/>
      <w:pPr>
        <w:ind w:left="127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4812813"/>
    <w:multiLevelType w:val="hybridMultilevel"/>
    <w:tmpl w:val="4420EA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612859239">
    <w:abstractNumId w:val="18"/>
  </w:num>
  <w:num w:numId="19" w16cid:durableId="1106313500">
    <w:abstractNumId w:val="12"/>
  </w:num>
  <w:num w:numId="20" w16cid:durableId="7747859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2610D"/>
    <w:rsid w:val="00145075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46C3A"/>
    <w:rsid w:val="00465587"/>
    <w:rsid w:val="00477455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A13AB"/>
    <w:rsid w:val="005A49C6"/>
    <w:rsid w:val="005C766E"/>
    <w:rsid w:val="005C7CD5"/>
    <w:rsid w:val="005D56D6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E03C8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B05380"/>
    <w:rsid w:val="00B05962"/>
    <w:rsid w:val="00B15449"/>
    <w:rsid w:val="00B16C2F"/>
    <w:rsid w:val="00B27303"/>
    <w:rsid w:val="00B47FD1"/>
    <w:rsid w:val="00B516BB"/>
    <w:rsid w:val="00B669E9"/>
    <w:rsid w:val="00B7538C"/>
    <w:rsid w:val="00B84DB2"/>
    <w:rsid w:val="00BC3555"/>
    <w:rsid w:val="00C12B51"/>
    <w:rsid w:val="00C24650"/>
    <w:rsid w:val="00C25465"/>
    <w:rsid w:val="00C31806"/>
    <w:rsid w:val="00C33079"/>
    <w:rsid w:val="00C525D8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8E0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E03C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1571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Samuli Turtinen (Nokia)</cp:lastModifiedBy>
  <cp:revision>4</cp:revision>
  <dcterms:created xsi:type="dcterms:W3CDTF">2024-02-15T15:09:00Z</dcterms:created>
  <dcterms:modified xsi:type="dcterms:W3CDTF">2024-02-16T08:43:00Z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